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5147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Helcoski et al. (2019)</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 Bourg et al., 2013)</w:t>
      </w:r>
      <w:r>
        <w:t xml:space="preserve"> </w:t>
      </w:r>
      <w:r>
        <w:t xml:space="preserve">and trees found newly dead in annual tree mortality in 2016 and 2017</w:t>
      </w:r>
      <w:r>
        <w:t xml:space="preserve"> </w:t>
      </w:r>
      <w:r>
        <w:t xml:space="preserve">(Helcoski et al., 2019)</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(Cook, 1985; Cook &amp; Kairiukstis, 1990)</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(Cook &amp; Peters, 1997)</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(Jones et al., 1997)</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(Cook, 1985)</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(Cook, 1985)</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 Anderson-Teixeira et al., 2020)</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(Anderson-Teixeira et al., 2020)</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(Helcoski et al., 2019)</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(Bates et al., 2015)</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43773"/>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1"/>
    <w:bookmarkEnd w:id="52"/>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at SCBI the strongest temperature sensitivity aligned with peak growing season</w:t>
      </w:r>
      <w:r>
        <w:t xml:space="preserve"> </w:t>
      </w:r>
      <w:r>
        <w:t xml:space="preserve">(Helcoski et al., 2019)</w:t>
      </w:r>
      <w:r>
        <w:t xml:space="preserve">, whereas there were fewer significant climate correlations for the species at Harvard Forest (Fig. 6).</w:t>
      </w:r>
      <w:r>
        <w:t xml:space="preserve"> </w:t>
      </w:r>
      <w:r>
        <w:t xml:space="preserve">Relative to other temperate deciduous forest sites, the pattern at SCBI tends to be more typical: annual growth is most commonly controlled by climate conditions during the peak growing season.</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(Figs. 3- 5).</w:t>
      </w:r>
      <w:r>
        <w:t xml:space="preserve"> </w:t>
      </w:r>
      <w:r>
        <w:t xml:space="preserve">Yet, an earlier start to the growing season does not imply a longer growing season</w:t>
      </w:r>
      <w:r>
        <w:t xml:space="preserve"> </w:t>
      </w:r>
      <w:r>
        <w:t xml:space="preserve">(Table 1, Figs. 4, 5; Zani et al., 2020)</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(Zani et al., 2020)</w:t>
      </w:r>
      <w:r>
        <w:t xml:space="preserve">.</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 Zani et al., 2020)</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53"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Zani et al. (2020)</w:t>
      </w:r>
    </w:p>
    <w:p>
      <w:pPr>
        <w:pStyle w:val="BodyText"/>
      </w:pPr>
      <w:r>
        <w:t xml:space="preserve">Delgado et al. (2020)</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94" w:name="references"/>
    <w:p>
      <w:pPr>
        <w:pStyle w:val="Heading1"/>
      </w:pPr>
      <w:r>
        <w:t xml:space="preserve">References</w:t>
      </w:r>
    </w:p>
    <w:bookmarkStart w:id="93" w:name="refs"/>
    <w:bookmarkStart w:id="60"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59">
        <w:r>
          <w:rPr>
            <w:rStyle w:val="Hyperlink"/>
          </w:rPr>
          <w:t xml:space="preserve">https://doi.org/10.5281/ZENODO.4041609</w:t>
        </w:r>
      </w:hyperlink>
    </w:p>
    <w:bookmarkEnd w:id="60"/>
    <w:bookmarkStart w:id="62" w:name="ref-bates_fitting_2015"/>
    <w:p>
      <w:pPr>
        <w:pStyle w:val="Bibliography"/>
      </w:pPr>
      <w:r>
        <w:t xml:space="preserve">Bates, D., Mächler, M., Bolker, B., &amp; Walker, S. (2015). Fitting Linear Mixed-Effects Models Using</w:t>
      </w:r>
      <w:r>
        <w:t xml:space="preserve"> </w:t>
      </w:r>
      <w:r>
        <w:rPr>
          <w:b/>
        </w:rPr>
        <w:t xml:space="preserve">Lme4</w:t>
      </w:r>
      <w:r>
        <w:t xml:space="preserve">.</w:t>
      </w:r>
      <w:r>
        <w:t xml:space="preserve"> </w:t>
      </w:r>
      <w:r>
        <w:rPr>
          <w:i/>
        </w:rPr>
        <w:t xml:space="preserve">Journal of Statistical Software</w:t>
      </w:r>
      <w:r>
        <w:t xml:space="preserve">,</w:t>
      </w:r>
      <w:r>
        <w:t xml:space="preserve"> </w:t>
      </w:r>
      <w:r>
        <w:rPr>
          <w:i/>
        </w:rPr>
        <w:t xml:space="preserve">67</w:t>
      </w:r>
      <w:r>
        <w:t xml:space="preserve">(1).</w:t>
      </w:r>
      <w:r>
        <w:t xml:space="preserve"> </w:t>
      </w:r>
      <w:hyperlink r:id="rId61">
        <w:r>
          <w:rPr>
            <w:rStyle w:val="Hyperlink"/>
          </w:rPr>
          <w:t xml:space="preserve">https://doi.org/10.18637/jss.v067.i01</w:t>
        </w:r>
      </w:hyperlink>
    </w:p>
    <w:bookmarkEnd w:id="62"/>
    <w:bookmarkStart w:id="63"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3"/>
    <w:bookmarkStart w:id="65"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Ecology</w:t>
      </w:r>
      <w:r>
        <w:t xml:space="preserve">,</w:t>
      </w:r>
      <w:r>
        <w:t xml:space="preserve"> </w:t>
      </w:r>
      <w:r>
        <w:rPr>
          <w:i/>
        </w:rPr>
        <w:t xml:space="preserve">94</w:t>
      </w:r>
      <w:r>
        <w:t xml:space="preserve">(9), 2111–2112.</w:t>
      </w:r>
      <w:r>
        <w:t xml:space="preserve"> </w:t>
      </w:r>
      <w:hyperlink r:id="rId64">
        <w:r>
          <w:rPr>
            <w:rStyle w:val="Hyperlink"/>
          </w:rPr>
          <w:t xml:space="preserve">https://doi.org/10.1890/13-0010.1</w:t>
        </w:r>
      </w:hyperlink>
    </w:p>
    <w:bookmarkEnd w:id="65"/>
    <w:bookmarkStart w:id="67"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6">
        <w:r>
          <w:rPr>
            <w:rStyle w:val="Hyperlink"/>
          </w:rPr>
          <w:t xml:space="preserve">https://doi.org/10.1111/j.1365-2486.2005.001012.x</w:t>
        </w:r>
      </w:hyperlink>
    </w:p>
    <w:bookmarkEnd w:id="67"/>
    <w:bookmarkStart w:id="68" w:name="ref-cook_time_1985"/>
    <w:p>
      <w:pPr>
        <w:pStyle w:val="Bibliography"/>
      </w:pPr>
      <w:r>
        <w:t xml:space="preserve">Cook, E. R. (1985).</w:t>
      </w:r>
      <w:r>
        <w:t xml:space="preserve"> </w:t>
      </w:r>
      <w:r>
        <w:rPr>
          <w:i/>
        </w:rPr>
        <w:t xml:space="preserve">A Time Series Analysis Approach to Tree Ring Standardization: Vol. PhD</w:t>
      </w:r>
      <w:r>
        <w:t xml:space="preserve"> </w:t>
      </w:r>
      <w:r>
        <w:t xml:space="preserve">[PhD thesis]. University of Arizona.</w:t>
      </w:r>
    </w:p>
    <w:bookmarkEnd w:id="68"/>
    <w:bookmarkStart w:id="70" w:name="ref-cook_methods_1990"/>
    <w:p>
      <w:pPr>
        <w:pStyle w:val="Bibliography"/>
      </w:pPr>
      <w:r>
        <w:t xml:space="preserve">Cook, E. R., &amp; Kairiukstis, L. A. (Eds.). (1990).</w:t>
      </w:r>
      <w:r>
        <w:t xml:space="preserve"> </w:t>
      </w:r>
      <w:r>
        <w:rPr>
          <w:i/>
        </w:rPr>
        <w:t xml:space="preserve">Methods of Dendrochronology: Applications in the Environmental Sciences</w:t>
      </w:r>
      <w:r>
        <w:t xml:space="preserve">. Springer Netherlands.</w:t>
      </w:r>
      <w:r>
        <w:t xml:space="preserve"> </w:t>
      </w:r>
      <w:hyperlink r:id="rId69">
        <w:r>
          <w:rPr>
            <w:rStyle w:val="Hyperlink"/>
          </w:rPr>
          <w:t xml:space="preserve">https://doi.org/10.1007/978-94-015-7879-0</w:t>
        </w:r>
      </w:hyperlink>
    </w:p>
    <w:bookmarkEnd w:id="70"/>
    <w:bookmarkStart w:id="7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71">
        <w:r>
          <w:rPr>
            <w:rStyle w:val="Hyperlink"/>
          </w:rPr>
          <w:t xml:space="preserve">https://doi.org/10.1177/095968369700700314</w:t>
        </w:r>
      </w:hyperlink>
    </w:p>
    <w:bookmarkEnd w:id="72"/>
    <w:bookmarkStart w:id="74" w:name="ref-delgado_differences_2020"/>
    <w:p>
      <w:pPr>
        <w:pStyle w:val="Bibliography"/>
      </w:pPr>
      <w:r>
        <w:t xml:space="preserve">Delgado, M. del M., Roslin, T., Tikhonov, G., Meyke, E., Lo, C., Gurarie, E., Abadonova, M., Abduraimov, O., Adrianova, O., Akimova, T., Akkiev, M., Ananin, A., Andreeva, E., Andriychuk, N., Antipin, M., Arzamascev, K., Babina, S., Babushkin, M., Bakin, O., … Ovaskainen, O. (2020). Differences in spatial versus temporal reaction norms for spring and autumn phenological events.</w:t>
      </w:r>
      <w:r>
        <w:t xml:space="preserve"> </w:t>
      </w:r>
      <w:r>
        <w:rPr>
          <w:i/>
        </w:rPr>
        <w:t xml:space="preserve">Proceedings of the National Academy of Sciences</w:t>
      </w:r>
      <w:r>
        <w:t xml:space="preserve">, 202002713.</w:t>
      </w:r>
      <w:r>
        <w:t xml:space="preserve"> </w:t>
      </w:r>
      <w:hyperlink r:id="rId73">
        <w:r>
          <w:rPr>
            <w:rStyle w:val="Hyperlink"/>
          </w:rPr>
          <w:t xml:space="preserve">https://doi.org/10.1073/pnas.2002713117</w:t>
        </w:r>
      </w:hyperlink>
    </w:p>
    <w:bookmarkEnd w:id="74"/>
    <w:bookmarkStart w:id="7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75">
        <w:r>
          <w:rPr>
            <w:rStyle w:val="Hyperlink"/>
          </w:rPr>
          <w:t xml:space="preserve">https://doi.org/10.1175/JCLI3800.1</w:t>
        </w:r>
      </w:hyperlink>
    </w:p>
    <w:bookmarkEnd w:id="76"/>
    <w:bookmarkStart w:id="78"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77">
        <w:r>
          <w:rPr>
            <w:rStyle w:val="Hyperlink"/>
          </w:rPr>
          <w:t xml:space="preserve">https://doi.org/10.1111/gcb.14731</w:t>
        </w:r>
      </w:hyperlink>
    </w:p>
    <w:bookmarkEnd w:id="78"/>
    <w:bookmarkStart w:id="80"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79">
        <w:r>
          <w:rPr>
            <w:rStyle w:val="Hyperlink"/>
          </w:rPr>
          <w:t xml:space="preserve">https://doi.org/10.1111/nph.15906</w:t>
        </w:r>
      </w:hyperlink>
    </w:p>
    <w:bookmarkEnd w:id="80"/>
    <w:bookmarkStart w:id="81" w:name="ref-jones_estimating_1997"/>
    <w:p>
      <w:pPr>
        <w:pStyle w:val="Bibliography"/>
      </w:pPr>
      <w:r>
        <w:t xml:space="preserve">Jones, P. D., Osborn, T. J., &amp; Briffa, K. R. (1997). Estimating sampling errors in large-scale temperature averages.</w:t>
      </w:r>
      <w:r>
        <w:t xml:space="preserve"> </w:t>
      </w:r>
      <w:r>
        <w:rPr>
          <w:i/>
        </w:rPr>
        <w:t xml:space="preserve">Journal of Climate</w:t>
      </w:r>
      <w:r>
        <w:t xml:space="preserve">,</w:t>
      </w:r>
      <w:r>
        <w:t xml:space="preserve"> </w:t>
      </w:r>
      <w:r>
        <w:rPr>
          <w:i/>
        </w:rPr>
        <w:t xml:space="preserve">10</w:t>
      </w:r>
      <w:r>
        <w:t xml:space="preserve">(10), 2548–2568.</w:t>
      </w:r>
    </w:p>
    <w:bookmarkEnd w:id="81"/>
    <w:bookmarkStart w:id="83"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82">
        <w:r>
          <w:rPr>
            <w:rStyle w:val="Hyperlink"/>
          </w:rPr>
          <w:t xml:space="preserve">https://doi.org/10.1038/nclimate2253</w:t>
        </w:r>
      </w:hyperlink>
    </w:p>
    <w:bookmarkEnd w:id="83"/>
    <w:bookmarkStart w:id="85"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84">
        <w:r>
          <w:rPr>
            <w:rStyle w:val="Hyperlink"/>
          </w:rPr>
          <w:t xml:space="preserve">https://doi.org/10.1002/ece3.1117</w:t>
        </w:r>
      </w:hyperlink>
    </w:p>
    <w:bookmarkEnd w:id="85"/>
    <w:bookmarkStart w:id="86" w:name="ref-zani_increased_2020"/>
    <w:p>
      <w:pPr>
        <w:pStyle w:val="Bibliography"/>
      </w:pPr>
      <w:r>
        <w:t xml:space="preserve">Zani, D., Crowther, T. W., Mo, L., Renner, S. S., &amp; Zohner, C. M. (2020).</w:t>
      </w:r>
      <w:r>
        <w:t xml:space="preserve"> </w:t>
      </w:r>
      <w:r>
        <w:rPr>
          <w:i/>
        </w:rPr>
        <w:t xml:space="preserve">Increased growing-season productivity drives earlier autumn leaf senescence in temperate trees</w:t>
      </w:r>
      <w:r>
        <w:t xml:space="preserve">. 7.</w:t>
      </w:r>
    </w:p>
    <w:bookmarkEnd w:id="86"/>
    <w:bookmarkStart w:id="88"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87">
        <w:r>
          <w:rPr>
            <w:rStyle w:val="Hyperlink"/>
          </w:rPr>
          <w:t xml:space="preserve">https://doi.org/10.1007/s13595-020-01008-1</w:t>
        </w:r>
      </w:hyperlink>
    </w:p>
    <w:bookmarkEnd w:id="88"/>
    <w:bookmarkStart w:id="90"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89">
        <w:r>
          <w:rPr>
            <w:rStyle w:val="Hyperlink"/>
          </w:rPr>
          <w:t xml:space="preserve">https://doi.org/10.1016/j.catena.2020.104936</w:t>
        </w:r>
      </w:hyperlink>
    </w:p>
    <w:bookmarkEnd w:id="90"/>
    <w:bookmarkStart w:id="92"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91">
        <w:r>
          <w:rPr>
            <w:rStyle w:val="Hyperlink"/>
          </w:rPr>
          <w:t xml:space="preserve">https://doi.org/10.1016/j.agrformet.2016.06.010</w:t>
        </w:r>
      </w:hyperlink>
    </w:p>
    <w:bookmarkEnd w:id="92"/>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84" Target="https://doi.org/10.1002/ece3.1117" TargetMode="External" /><Relationship Type="http://schemas.openxmlformats.org/officeDocument/2006/relationships/hyperlink" Id="rId69" Target="https://doi.org/10.1007/978-94-015-7879-0" TargetMode="External" /><Relationship Type="http://schemas.openxmlformats.org/officeDocument/2006/relationships/hyperlink" Id="rId87" Target="https://doi.org/10.1007/s13595-020-01008-1" TargetMode="External" /><Relationship Type="http://schemas.openxmlformats.org/officeDocument/2006/relationships/hyperlink" Id="rId91" Target="https://doi.org/10.1016/j.agrformet.2016.06.010" TargetMode="External" /><Relationship Type="http://schemas.openxmlformats.org/officeDocument/2006/relationships/hyperlink" Id="rId89" Target="https://doi.org/10.1016/j.catena.2020.104936" TargetMode="External" /><Relationship Type="http://schemas.openxmlformats.org/officeDocument/2006/relationships/hyperlink" Id="rId82" Target="https://doi.org/10.1038/nclimate2253" TargetMode="External" /><Relationship Type="http://schemas.openxmlformats.org/officeDocument/2006/relationships/hyperlink" Id="rId73" Target="https://doi.org/10.1073/pnas.2002713117" TargetMode="External" /><Relationship Type="http://schemas.openxmlformats.org/officeDocument/2006/relationships/hyperlink" Id="rId77" Target="https://doi.org/10.1111/gcb.14731" TargetMode="External" /><Relationship Type="http://schemas.openxmlformats.org/officeDocument/2006/relationships/hyperlink" Id="rId66" Target="https://doi.org/10.1111/j.1365-2486.2005.001012.x" TargetMode="External" /><Relationship Type="http://schemas.openxmlformats.org/officeDocument/2006/relationships/hyperlink" Id="rId79" Target="https://doi.org/10.1111/nph.15906" TargetMode="External" /><Relationship Type="http://schemas.openxmlformats.org/officeDocument/2006/relationships/hyperlink" Id="rId75" Target="https://doi.org/10.1175/JCLI3800.1" TargetMode="External" /><Relationship Type="http://schemas.openxmlformats.org/officeDocument/2006/relationships/hyperlink" Id="rId71" Target="https://doi.org/10.1177/095968369700700314" TargetMode="External" /><Relationship Type="http://schemas.openxmlformats.org/officeDocument/2006/relationships/hyperlink" Id="rId61" Target="https://doi.org/10.18637/jss.v067.i01" TargetMode="External" /><Relationship Type="http://schemas.openxmlformats.org/officeDocument/2006/relationships/hyperlink" Id="rId64" Target="https://doi.org/10.1890/13-0010.1" TargetMode="External" /><Relationship Type="http://schemas.openxmlformats.org/officeDocument/2006/relationships/hyperlink" Id="rId59" Target="https://doi.org/10.5281/ZENODO.4041609"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84" Target="https://doi.org/10.1002/ece3.1117" TargetMode="External" /><Relationship Type="http://schemas.openxmlformats.org/officeDocument/2006/relationships/hyperlink" Id="rId69" Target="https://doi.org/10.1007/978-94-015-7879-0" TargetMode="External" /><Relationship Type="http://schemas.openxmlformats.org/officeDocument/2006/relationships/hyperlink" Id="rId87" Target="https://doi.org/10.1007/s13595-020-01008-1" TargetMode="External" /><Relationship Type="http://schemas.openxmlformats.org/officeDocument/2006/relationships/hyperlink" Id="rId91" Target="https://doi.org/10.1016/j.agrformet.2016.06.010" TargetMode="External" /><Relationship Type="http://schemas.openxmlformats.org/officeDocument/2006/relationships/hyperlink" Id="rId89" Target="https://doi.org/10.1016/j.catena.2020.104936" TargetMode="External" /><Relationship Type="http://schemas.openxmlformats.org/officeDocument/2006/relationships/hyperlink" Id="rId82" Target="https://doi.org/10.1038/nclimate2253" TargetMode="External" /><Relationship Type="http://schemas.openxmlformats.org/officeDocument/2006/relationships/hyperlink" Id="rId73" Target="https://doi.org/10.1073/pnas.2002713117" TargetMode="External" /><Relationship Type="http://schemas.openxmlformats.org/officeDocument/2006/relationships/hyperlink" Id="rId77" Target="https://doi.org/10.1111/gcb.14731" TargetMode="External" /><Relationship Type="http://schemas.openxmlformats.org/officeDocument/2006/relationships/hyperlink" Id="rId66" Target="https://doi.org/10.1111/j.1365-2486.2005.001012.x" TargetMode="External" /><Relationship Type="http://schemas.openxmlformats.org/officeDocument/2006/relationships/hyperlink" Id="rId79" Target="https://doi.org/10.1111/nph.15906" TargetMode="External" /><Relationship Type="http://schemas.openxmlformats.org/officeDocument/2006/relationships/hyperlink" Id="rId75" Target="https://doi.org/10.1175/JCLI3800.1" TargetMode="External" /><Relationship Type="http://schemas.openxmlformats.org/officeDocument/2006/relationships/hyperlink" Id="rId71" Target="https://doi.org/10.1177/095968369700700314" TargetMode="External" /><Relationship Type="http://schemas.openxmlformats.org/officeDocument/2006/relationships/hyperlink" Id="rId61" Target="https://doi.org/10.18637/jss.v067.i01" TargetMode="External" /><Relationship Type="http://schemas.openxmlformats.org/officeDocument/2006/relationships/hyperlink" Id="rId64" Target="https://doi.org/10.1890/13-0010.1" TargetMode="External" /><Relationship Type="http://schemas.openxmlformats.org/officeDocument/2006/relationships/hyperlink" Id="rId59" Target="https://doi.org/10.5281/ZENODO.4041609"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2020-12-07T22:27:13Z</dcterms:created>
  <dcterms:modified xsi:type="dcterms:W3CDTF">2020-12-07T22:27:13Z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